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6" w:rsidRPr="005E5E1A" w:rsidRDefault="00D85906" w:rsidP="00D85906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r w:rsidRPr="005E5E1A">
        <w:rPr>
          <w:rFonts w:ascii="Calibri" w:hAnsi="Calibri" w:cs="Calibri"/>
          <w:b/>
          <w:sz w:val="28"/>
          <w:szCs w:val="28"/>
        </w:rPr>
        <w:t>KYO (Bireysel Hibeler) 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D85906" w:rsidRPr="005E5E1A" w:rsidRDefault="00D85906" w:rsidP="00D85906">
      <w:pPr>
        <w:rPr>
          <w:lang w:val="tr-TR" w:eastAsia="tr-TR" w:bidi="ar-SA"/>
        </w:rPr>
      </w:pPr>
    </w:p>
    <w:p w:rsidR="00D85906" w:rsidRPr="005E5E1A" w:rsidRDefault="00D85906" w:rsidP="00D85906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D85906" w:rsidRPr="005E5E1A" w:rsidRDefault="00D85906" w:rsidP="00D85906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D85906" w:rsidRPr="005E5E1A" w:rsidRDefault="00D85906" w:rsidP="00D85906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D85906" w:rsidRPr="005E5E1A" w:rsidTr="00F75D32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D85906" w:rsidRPr="005E5E1A" w:rsidTr="00F75D32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D85906" w:rsidRPr="005E5E1A" w:rsidTr="00F75D32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D85906" w:rsidRPr="005E5E1A" w:rsidRDefault="00D85906" w:rsidP="00D85906">
      <w:pPr>
        <w:spacing w:after="120" w:line="276" w:lineRule="auto"/>
        <w:jc w:val="both"/>
        <w:rPr>
          <w:lang w:eastAsia="tr-TR"/>
        </w:rPr>
      </w:pP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D85906" w:rsidRPr="005E5E1A" w:rsidTr="00F75D32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D85906" w:rsidRPr="005E5E1A" w:rsidTr="00F75D32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D85906" w:rsidRPr="005E5E1A" w:rsidRDefault="00D85906" w:rsidP="00D85906">
      <w:pPr>
        <w:spacing w:after="120" w:line="276" w:lineRule="auto"/>
        <w:jc w:val="both"/>
      </w:pPr>
    </w:p>
    <w:p w:rsidR="00D85906" w:rsidRPr="005E5E1A" w:rsidRDefault="00D85906" w:rsidP="00D85906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rPr>
          <w:lang w:eastAsia="tr-TR"/>
        </w:rPr>
      </w:pPr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D85906" w:rsidRPr="005E5E1A" w:rsidRDefault="00D85906" w:rsidP="00D85906">
      <w:pPr>
        <w:spacing w:after="120" w:line="276" w:lineRule="auto"/>
        <w:rPr>
          <w:lang w:eastAsia="tr-TR"/>
        </w:rPr>
      </w:pPr>
    </w:p>
    <w:p w:rsidR="00D85906" w:rsidRDefault="00D85906" w:rsidP="00D85906">
      <w:pPr>
        <w:jc w:val="both"/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4E36E1" w:rsidRDefault="004E36E1" w:rsidP="004E36E1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1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1"/>
    </w:p>
    <w:p w:rsidR="004E36E1" w:rsidRPr="00F72B82" w:rsidRDefault="004E36E1" w:rsidP="004E36E1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4E36E1" w:rsidRPr="00F72B82" w:rsidTr="00F75D32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</w:tbl>
    <w:p w:rsidR="004E36E1" w:rsidRPr="00F72B82" w:rsidRDefault="004E36E1" w:rsidP="004E36E1">
      <w:pPr>
        <w:rPr>
          <w:lang w:eastAsia="tr-TR"/>
        </w:rPr>
      </w:pPr>
    </w:p>
    <w:p w:rsidR="004E36E1" w:rsidRPr="00F72B82" w:rsidRDefault="004E36E1" w:rsidP="004E36E1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4E36E1" w:rsidRPr="00F72B82" w:rsidRDefault="004E36E1" w:rsidP="004E36E1">
      <w:pPr>
        <w:rPr>
          <w:lang w:eastAsia="tr-TR"/>
        </w:rPr>
      </w:pPr>
    </w:p>
    <w:p w:rsidR="004E36E1" w:rsidRPr="00F72B82" w:rsidRDefault="004E36E1" w:rsidP="004E36E1">
      <w:pPr>
        <w:widowControl w:val="0"/>
        <w:rPr>
          <w:lang w:eastAsia="tr-TR"/>
        </w:rPr>
      </w:pPr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4E36E1" w:rsidRPr="00F72B82" w:rsidRDefault="004E36E1" w:rsidP="004E36E1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4E36E1" w:rsidRPr="00F72B82" w:rsidTr="00F75D32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</w:tbl>
    <w:p w:rsidR="004E36E1" w:rsidRPr="00F72B82" w:rsidRDefault="004E36E1" w:rsidP="004E36E1">
      <w:pPr>
        <w:rPr>
          <w:lang w:eastAsia="tr-TR"/>
        </w:rPr>
      </w:pPr>
    </w:p>
    <w:p w:rsidR="004E36E1" w:rsidRPr="00F72B82" w:rsidRDefault="004E36E1" w:rsidP="004E36E1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4E36E1" w:rsidRPr="00F72B82" w:rsidRDefault="004E36E1" w:rsidP="004E36E1">
      <w:pPr>
        <w:widowControl w:val="0"/>
        <w:rPr>
          <w:lang w:eastAsia="tr-TR"/>
        </w:rPr>
      </w:pPr>
    </w:p>
    <w:p w:rsidR="004E36E1" w:rsidRPr="00F72B82" w:rsidRDefault="004E36E1" w:rsidP="004E36E1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4E36E1" w:rsidRPr="00F72B82" w:rsidRDefault="004E36E1" w:rsidP="004E36E1">
      <w:pPr>
        <w:widowControl w:val="0"/>
        <w:rPr>
          <w:lang w:eastAsia="tr-TR"/>
        </w:rPr>
      </w:pPr>
    </w:p>
    <w:p w:rsidR="004E36E1" w:rsidRPr="00F72B82" w:rsidRDefault="004E36E1" w:rsidP="004E36E1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4E36E1" w:rsidRPr="00F72B82" w:rsidRDefault="004E36E1" w:rsidP="004E36E1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4E36E1" w:rsidRPr="00F72B82" w:rsidTr="00F75D32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1A2C5D" w:rsidTr="00F75D32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4E36E1" w:rsidRPr="00580D1A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4E36E1" w:rsidRPr="001A2C5D" w:rsidRDefault="004E36E1" w:rsidP="00F75D32">
            <w:pPr>
              <w:widowControl w:val="0"/>
              <w:rPr>
                <w:lang w:eastAsia="tr-TR"/>
              </w:rPr>
            </w:pPr>
          </w:p>
        </w:tc>
      </w:tr>
    </w:tbl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  <w:bookmarkStart w:id="2" w:name="_GoBack"/>
      <w:bookmarkEnd w:id="2"/>
    </w:p>
    <w:p w:rsidR="00AE7AC3" w:rsidRDefault="00AE7AC3"/>
    <w:sectPr w:rsidR="00A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6"/>
    <w:rsid w:val="004E36E1"/>
    <w:rsid w:val="00AE7AC3"/>
    <w:rsid w:val="00D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0098-EBA4-435F-9B60-B9A0944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85906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5906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34"/>
    <w:qFormat/>
    <w:rsid w:val="00D85906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317A0-6DB4-4B0D-878F-5398D29A5766}"/>
</file>

<file path=customXml/itemProps2.xml><?xml version="1.0" encoding="utf-8"?>
<ds:datastoreItem xmlns:ds="http://schemas.openxmlformats.org/officeDocument/2006/customXml" ds:itemID="{0BC7D0F7-0A23-44EE-818B-23A774DAB1FC}"/>
</file>

<file path=customXml/itemProps3.xml><?xml version="1.0" encoding="utf-8"?>
<ds:datastoreItem xmlns:ds="http://schemas.openxmlformats.org/officeDocument/2006/customXml" ds:itemID="{0BE08D57-ACBF-4BCB-8AED-FF15DD30F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YILDIZ YABAN</dc:creator>
  <cp:keywords/>
  <dc:description/>
  <cp:lastModifiedBy>Halise YILDIZ YABAN</cp:lastModifiedBy>
  <cp:revision>2</cp:revision>
  <dcterms:created xsi:type="dcterms:W3CDTF">2023-05-16T07:52:00Z</dcterms:created>
  <dcterms:modified xsi:type="dcterms:W3CDTF">2023-05-16T07:55:00Z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